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B0" w:rsidRPr="0020157C" w:rsidRDefault="008075B0" w:rsidP="008075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25.03.20.                 </w:t>
      </w:r>
      <w:bookmarkStart w:id="0" w:name="_GoBack"/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гр.№ 3 </w:t>
      </w:r>
      <w:bookmarkEnd w:id="0"/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Тема: Син</w:t>
      </w:r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таксический разбор сложных предло</w:t>
      </w:r>
      <w:r w:rsidRPr="0020157C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жений.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Цель: Повторить с учащимися синтаксический разбор предложений всех видов, </w:t>
      </w: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пунктуацию в них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; формировать умение анализировать, строить такие конструкции, правильно расставлять в них знаки препинания.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Задачи: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образовательные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– повторить и закрепить знания о постановке знаков препинания в предложениях всех видов, повторить синтаксический разбор сложных предложений; 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развивающие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– формировать умение анализировать, строить и употреблять в письменной речи конструкции сложных предложений, правильно расставлять в них знаки препинания; 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воспитывающие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– вырабатывать способности к занятиям повышенной трудности, воспитывать культуру языка.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урока.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Сегодня во всех сферах жизни человека образованность выходит на первый план. И чтобы стать успешными, нам нужны и важны знания и по синтаксису.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План синтаксического разбора сложного предложения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При разборе предложения необходимо сначала подчеркнуть грамматические основы и определить их состав.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Затем надо найти союз, если он есть, и определить, как части сложного связаны между собой. При желании можно сразу же составить схему, так как вся необходимая для этого информация уже имеется, но можно это сделать и позже.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Подчеркнуть второстепенные члены предложения, не забывая ставить вопросы устно или письменно. Обязательно надо надписать вопрос в том случае, если какое-то слово можно рассматривать как разные члены предложения 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(например, «куртка с капюшоном» – какая? (определение) или с чем? (дополнение))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. Надписать сверху, какой частью речи выражен тот или иной член предложения; причастные или деепричастные обороты так и подписывают: «причастный оборот» или «деепричастный», – а не определяют все части речи.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После этого можно дать характеристику предложению. При этом необходимо указать следующее: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предложение повествовательное, вопросительное или побудительное;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восклицательное или невосклицательное;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союзное или бессоюзное, а если союзное, то сложноподчиненное или сложносочиненное;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если предложение сложноподчиненное, то указать тип придаточного (изъяснительное, определительное, обстоятельственное; если сложносочиненное, то определить разряд союза: соединительный, разделительный или противительный;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затем дается характеристика каждой из частей по плану: односоставное или двусоставное, распространенное или нераспространенное; осложнено предложение или нет.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Последний штрих – это </w:t>
      </w:r>
      <w:proofErr w:type="spellStart"/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схема.Это</w:t>
      </w:r>
      <w:proofErr w:type="spellEnd"/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полный разбор. Иногда делают сокращенный разбор сложного предложения. Тогда достаточно подчеркнуть члены предложения (иногда только грамматические основы) и оставить схему. Можно менять порядок действий, но это замедлит работу и может привести к ошибкам.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Приведем примеры синтаксического разбора сложных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предложений.глаг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. сущ. глаг. сущ. глаг. сущ. Вечерело, когда </w:t>
      </w:r>
      <w:r w:rsidRPr="002015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Ольга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вышла из дома и направилась к парку.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Повествовательное, невосклицательное, сложноподчиненное с придаточным обстоятельственным (времени) с союзом «когда»; главная часть односоставная безличная, нераспространённая; придаточная часть двусоставная распространённая, осложнена однородными сказуемыми.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[ ]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(когда ).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Что мы узнали?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Разбор предложения надо начинать с поиска грамматических основ; это позволит понять структуру предложения и определить, какое перед нами предложение: союзное (сложносочиненное или сложноподчиненное) или бессоюзное. Затем надо подчеркнуть второстепенные члены, надписать части речи. В третью очередь надо дать характеристику предложению. Кроме того, необходимо составить схему сложного предложения; это можно сделать в самом конце, а можно – после определения грамматических основ и типа сложного предложения.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Орфоэпическая минутка: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убра'нство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эксли'брис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балу'юсь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нормирова'ть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облегчи'ть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сли'вовый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краси'вее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фено'мен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щаве'ль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зави'дно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позвони'т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ерети'к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ба'рмен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коры'сть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ба'нты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жалюзи',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прида'ное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сиро'ты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раку'шки</w:t>
      </w:r>
      <w:proofErr w:type="spellEnd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ка'шлянуть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заржа'веть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напе'рчить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факси'миле</w:t>
      </w:r>
      <w:proofErr w:type="spellEnd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фено'мен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хода'тайствовать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цыга'н</w:t>
      </w:r>
      <w:proofErr w:type="spellEnd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заку'порить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че'рпать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пле'сневеть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обеспе'чение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наме'рение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углуби'ть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танцо'вщица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плато',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опто'вый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мастерски',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ме'льком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упро'чение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хозя'ева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мизе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'</w:t>
      </w: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рный</w:t>
      </w:r>
      <w:proofErr w:type="spellEnd"/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Вставьте пропущенные буквы в словах: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д..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л..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катес</w:t>
      </w:r>
      <w:proofErr w:type="spellEnd"/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лл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генция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а..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омпан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..мент, п..р..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ферия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п..л..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нгатор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п..с..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мизм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м..ц..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нат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д..л..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гация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..ф..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д..з..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ртир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к..т..строфа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прогр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сивный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мирово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рение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в..легированный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гиган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коло..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альный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труже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..в..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дение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пр..образовать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Синтаксический разбор сложных предложений.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[1 Дербент – наш общий дом], и [2 каждый из нас может рассказать о тех], (3 кто здесь родился, живёт или по каким-либо причинам уехал, но до сих пор продолжает искренне любить нашу страну).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[ ]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, [ … гл.+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. сл.], (кто …).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Вдруг навалился густой туман],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как будто стеной отделил он меня от остального мира], и, (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чтобы не заблудиться),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я решил вернуться на 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тропинку], (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которая, по моим соображениям, должна была находиться слева и сзади).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I II III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[ ]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[], и, (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чтобы …), [ … сущ.], (которая… ) 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Предложение повествовательное, восклицательное, сложное, с разными видами связи: бессоюзной, сочинительной и подчинительной: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из трёх частей, связанных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бессоюзно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(I и II части) и сочинительным соединительным союзом (II и III части);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I часть – простое предложение,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II часть – простое предложение,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III часть – сложноподчинённое предложение с двумя придаточными (цели и определительным) с параллельным подчинением.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Придаточное цели зависит от всего главного предложения, отвечает на вопрос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 какой </w:t>
      </w:r>
      <w:proofErr w:type="gramStart"/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целью?,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 присоединяется союзом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чтобы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Придаточное определительное зависит от существительного тропинку, отвечает на вопрос </w:t>
      </w:r>
      <w:proofErr w:type="gramStart"/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какую?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присоединяется союзным словом </w:t>
      </w: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которая.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В сложных предложениях с разными видами связи знаки препинания ставятся по тем же правилам, что и в ССП, СПП и БСП. Для правильной расстановки знаков препинания важно понять, как сгруппированы между собой простые предложения в составе сложного. </w:t>
      </w:r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Крепость наша стояла на высоком месте], и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вид был с вала прекрасный]: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с одной стороны широкая поляна, изрытая несколькими балками, оканчивалась лесом], (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который тянулся до самого хребта гор);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кое-где на ней дымились аулы],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ходили табуны];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с другой бежала мелкая речка], и [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 ней примыкал частый кустарник, покрывавший кремнистые возвышенности], (</w:t>
      </w:r>
      <w:r w:rsidRPr="0020157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которые соединялись с главной цепью Кавказа).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нашего урока.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</w:rPr>
        <w:t>§ 147, упр.  203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из данных предложения. Если предложения составлены правильно, то вы получите строки известных стихотворений А. Пушкина, М. Лермонтова, С. Есенина, Б. Пастернака. Подчеркните грамматические основы и дайте синтаксическую характеристику предложений.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Fonts w:ascii="Times New Roman" w:hAnsi="Times New Roman" w:cs="Times New Roman"/>
          <w:sz w:val="28"/>
          <w:szCs w:val="28"/>
        </w:rPr>
        <w:t>Обмануть, трудно, ах, обманываться, сам, меня, я, рад.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Fonts w:ascii="Times New Roman" w:hAnsi="Times New Roman" w:cs="Times New Roman"/>
          <w:sz w:val="28"/>
          <w:szCs w:val="28"/>
        </w:rPr>
        <w:t xml:space="preserve"> И, руку, скучно, и, некому, в минуту, невзгоды, подать, и, грустно, душевной.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Fonts w:ascii="Times New Roman" w:hAnsi="Times New Roman" w:cs="Times New Roman"/>
          <w:sz w:val="28"/>
          <w:szCs w:val="28"/>
        </w:rPr>
        <w:t>Мне, девушка, в голубом, но, я, теперь, люблю, в, белом, нравилась, да.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Fonts w:ascii="Times New Roman" w:hAnsi="Times New Roman" w:cs="Times New Roman"/>
          <w:sz w:val="28"/>
          <w:szCs w:val="28"/>
        </w:rPr>
        <w:t xml:space="preserve">А, прекрасна, любить, тяжелый, иных, ты, без </w:t>
      </w:r>
      <w:proofErr w:type="spellStart"/>
      <w:proofErr w:type="gramStart"/>
      <w:r w:rsidRPr="0020157C">
        <w:rPr>
          <w:rFonts w:ascii="Times New Roman" w:hAnsi="Times New Roman" w:cs="Times New Roman"/>
          <w:sz w:val="28"/>
          <w:szCs w:val="28"/>
        </w:rPr>
        <w:t>извилин,крест</w:t>
      </w:r>
      <w:proofErr w:type="spellEnd"/>
      <w:proofErr w:type="gramEnd"/>
      <w:r w:rsidRPr="00201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5B0" w:rsidRPr="0020157C" w:rsidRDefault="008075B0" w:rsidP="00807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705" w:rsidRDefault="008075B0"/>
    <w:sectPr w:rsidR="00D8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D"/>
    <w:rsid w:val="0001234A"/>
    <w:rsid w:val="004D0D33"/>
    <w:rsid w:val="00637A9D"/>
    <w:rsid w:val="008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A565-E00C-4D60-B2AA-A8689BB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2020-03-26T09:08:00Z</dcterms:created>
  <dcterms:modified xsi:type="dcterms:W3CDTF">2020-03-26T09:08:00Z</dcterms:modified>
</cp:coreProperties>
</file>