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Заказные Туры. Особенности Составления Программ Обслуживания Туров.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Комплексное обслуживание включает набор (турпакет) туристских услуг. Услуги в туризме разнообразны: размещение, питание, перевозка, экскурсионные, досугово-развлекательные и бытовые услуги, спортивные и курортные программы, туристские походы и многое другое.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Пакет услуг (турпакет) - это произведенный туроператором туристский продукт, состоящий из определенного набора услуг: перевозки, размещения, питания, экскурсий и т. д. Пакет услуг на туре формируется в зависимости от цели путешествия и потребностей туристов по выбранному ими виду туристского отдыха.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При формировании тура и его пакета возможны два варианта работы с туристами: а) реализация заказных туров; б) реализация инклюзив-туров.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Заказной тур. При продаже заказных туров формирование программы и комплектование состава услуг производятся по желанию и при непосредственном участии туриста. Ему предлагают на выбор разные варианты обслуживания по каждому из видов услуг в предполагаемом им месте отдыха: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-размещение - разные по уровню, типу и месту расположения гостиницы;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-питание - разные варианты (полный или полупансион, или совсем без питания), шведский стол или «а ля карт» с обслуживанием и т. д.;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lastRenderedPageBreak/>
        <w:t>-экскурсии, досугово-развлекательные услуги на выбор;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-транспортные услуги - варианты авиаперелета, железнодорожного проезда, аренды автомашины и т. д.;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-спортивные и курортные услуги - пользование такими программами на выбор, а также возможность трекинга или похода;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-визовые услуги, а также услуги страхования (в необходимых случаях) и т. д.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Как уже было сказано, турист сам участвует в составлении программы своего отдыха или путешествия. Выбранные туристом услуги формируются в программу тура, рассчитывается цена, которую турист оплачивает при приобретении пакета тура (турпутевки).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Инклюзив-тур (IT). Этот тур с жестким, заранее спланированным (до контакта с клиентом) набором услуг, сориентированным на определенный вид отдыха или туризма, а также на социальный класс туристов и их возраст. Наиболее распространенными инклюзив-турами можно назвать маршрутные туры, когда на автобусе группа туристов совершает путешествие по нескольким городам и странам. Особенности подготовки и проведения такого тура (единая для всех программа, строго увязанная со сроками и графиком путешествия) не позволяют сделать его заказным. Инклюзивами являются также круизные туры, хобби-туры.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lastRenderedPageBreak/>
        <w:t>Инклюзив-туры дают возможность рассчитывать на специальные авиационные тарифы, предоставляемые авиакомпаниями турагентствам именно для этих туров. Инклюзив-тур для туристского тарифа в соответствии с требованиями Международной ассоциации воздушного транспорта (IATA) должен включать не менее трех услуг: авиаперелет, размещение в гостинице по всему маршруту путешествия и еще одну, любую, не связанную с первыми двумя (экскурсию, аренду автомобиля и т. д.).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Как уже говорилось выше, все туристские поездки совершаются на групповой или на индивидуальной основе в зависимости от личного характера туриста и его бюджета, а также от особенностей тура. Индивидуальные поездки (как правило, это заказные туры) предоставляют туристу больше независимости и самостоятельности, но они более дорогие. Групповые поездки (чаще всего инклюзив-туры), наоборот, более дешевые и доступны массовому туристу, но в них каждый участник обязан подчиняться установленному порядку путешествия.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 xml:space="preserve">Организация заказных индивидуальных поездок, как уже говорилось, является очень трудоемким процессом, требующим использования компьютерной техники для осуществления бронирования, диспетчеризации, расчетов и других операций. Заказной индивидуальный туризм с экономической точки зрения очень выгоден для туристских фирм, так как дает более высокие валютные доходы в расчете на одного туриста по сравнению с доходами от групповых туристов. Поэтому в стратегии маркетинга российского </w:t>
      </w:r>
      <w:proofErr w:type="spellStart"/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lastRenderedPageBreak/>
        <w:t>туроперейтинга</w:t>
      </w:r>
      <w:proofErr w:type="spellEnd"/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 xml:space="preserve"> необходимо найти должное место мерам по развитию заказного индивидуального туризма на территории России, проведя в этом направлении соответствующие исследования.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Основной задачей деятельности туроператора является создание тура, подкрепленного соответствующей программой обслуживания. Этот продукт и является основным туристским продуктом туроператора, выпускаемым на рынок. В зависимости от вида заявки туриста и от способа организации продажи туры могут быть индивидуальными и групповыми.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Индивидуальные туры предоставляют туристу больше независимости и самостоятельности, но они более дорогие, так как такие виды услуг, как внутри маршрутный транспорт, услуги гида, и некоторые другие турист оплачивает полностью, в отличие от групповых туров, где эта цена раскладывается на всех членов группы. Именно поэтому индивидуальные туры не слишком доступны массовому туристу.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 xml:space="preserve">Кроме того, организация индивидуальных поездок является очень трудоемким процессом, требующим использования компьютерной техники для осуществления бронирования, диспетчеризации, расчетов и других операций. С другой стороны, индивидуальный туризм с экономической точки зрения очень выгоден для туристских фирм, так как дает более высокие доходы в расчете на одного туриста по сравнению с доходами от групповых туров. Поэтому в стратегии фирмы должны быть </w:t>
      </w: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lastRenderedPageBreak/>
        <w:t>найдены определенные места как для группового, так и для индивидуального туризма.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Программа обслуживания - это набор услуг, предоставляемых туристам в соответствии с их потребностями и тематикой тура, заранее оплаченный и распределенный по времени проведения тура.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При составлении программы обслуживания обычно используется следующий подход: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А. При заключении договора между туроператором и тур-агентом (либо при реализации индивидуального тура) - программа обслуживания составляется, согласовывается и утверждается сторонами в виде набора услуг (списком), без распределения по конкретным дням обслуживания. Это обусловливается тем, что заранее довольно трудно определить конкретные даты работы музеев, проведения экскурсий, интересующего туристов спектакля, концерта и т. д.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Эта программа прикладывается к договору между фирмами-партнерами или оформляется в виде заказа (листа бронирования) в случае индивидуальной продажи тура.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Б. Непосредственно перед заездом, примерно за 3 дня (по договоренности), фирмы дополнительно факсом согласовывают уже конкретную программу обслуживания по дням с указанием наименования гостиницы, в которой туристы будут размещаться. Индивидуальный турист получает такую программу в агентстве одновременно с получением путевки или ваучера.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lastRenderedPageBreak/>
        <w:t>Подготовка тура предусматривает предоставление туристам комплекса услуг в соответствии с их требованиями, предъявляемыми к уровню обслуживания, содержанию тура и технологии предоставления услуг.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Уровень обслуживания зависит от уровня составляющих туристских услуг: проживания, питания, экскурсионного, транспортного обслуживания, досуга, а также от четкого их соответствия цели путешествия.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Технология организации и проведения тура определяется оптимальностью обслуживания, которая заключается в комплексном подходе к формированию всей программы обслуживания и составлению ежедневных экскурсионно-досуговых программ.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Оптимальная программа обслуживания - это такая программа, которая учитывает потребности клиентов.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тематику обслуживания (вид туризма) с точки зрения содержания, состава услуг, их количества и порядка предоставления.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 xml:space="preserve">При составлении программ туров необходимо учитывать не только определенный уровень комфортности обслуживания, но и соответствие программ обслуживания цели путешествия. Не стоит предлагать турпоход на байдарках по рекам Подмосковья туристам, приехавшим в Москву с целью знакомства с историко-архитектурными памятниками. Если определен деловой тур, то и экскурсионная программа должна быть </w:t>
      </w: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lastRenderedPageBreak/>
        <w:t>сориентирована на интересы деловых людей. При разработке, к примеру, программы фольклорного (этнографического) тура вся экскурсионно-досуговая программа строится на принципах знакомства с местным фольклором, национальными особенностями, местными промыслами и т. д.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При составлении конкретной программы обслуживания через направляющую фирму заранее выясняют пожелания туристов. Здесь уже имеется в виду не столько изучение спроса, сколько выявление конкретных пожеланий туристов относительно посещения того или иного объекта, не входящего в экскурсионную программу (например, посещение биржи для деловых туристов и т. п.).</w:t>
      </w:r>
    </w:p>
    <w:p w:rsidR="001A3A59" w:rsidRPr="00091AE1" w:rsidRDefault="001A3A59" w:rsidP="001A3A59">
      <w:pPr>
        <w:spacing w:before="240" w:after="240" w:line="360" w:lineRule="atLeast"/>
        <w:rPr>
          <w:rFonts w:ascii="Arial" w:eastAsia="Times New Roman" w:hAnsi="Arial" w:cs="Arial"/>
          <w:color w:val="2E2E2E"/>
          <w:sz w:val="37"/>
          <w:szCs w:val="37"/>
          <w:lang w:eastAsia="ru-RU"/>
        </w:rPr>
      </w:pPr>
      <w:r w:rsidRPr="00091AE1">
        <w:rPr>
          <w:rFonts w:ascii="Arial" w:eastAsia="Times New Roman" w:hAnsi="Arial" w:cs="Arial"/>
          <w:color w:val="2E2E2E"/>
          <w:sz w:val="37"/>
          <w:szCs w:val="37"/>
          <w:lang w:eastAsia="ru-RU"/>
        </w:rPr>
        <w:t>В технологии обслуживания туристов большое значение имеет квалификация гида, работающего с группой, т. е. человека, который отвечает за качество обслуживания своим личным участием. Кроме того, что гид должен иметь высокую квалификацию, он должен владеть полной информацией по программе тура и при необходимости заменить один вид обслуживания другим.</w:t>
      </w:r>
    </w:p>
    <w:p w:rsidR="00BE2808" w:rsidRDefault="00BE2808">
      <w:bookmarkStart w:id="0" w:name="_GoBack"/>
      <w:bookmarkEnd w:id="0"/>
    </w:p>
    <w:sectPr w:rsidR="00BE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59"/>
    <w:rsid w:val="001A3A59"/>
    <w:rsid w:val="00B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F486-8FA2-4BE8-9F59-AE86F14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2020-03-26T09:26:00Z</dcterms:created>
  <dcterms:modified xsi:type="dcterms:W3CDTF">2020-03-26T09:29:00Z</dcterms:modified>
</cp:coreProperties>
</file>