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952"/>
        <w:gridCol w:w="190"/>
        <w:gridCol w:w="953"/>
        <w:gridCol w:w="4380"/>
        <w:gridCol w:w="1386"/>
        <w:gridCol w:w="1407"/>
      </w:tblGrid>
      <w:tr w:rsidR="00D51206" w:rsidRPr="000B68D6" w:rsidTr="00D51206">
        <w:trPr>
          <w:trHeight w:val="532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206" w:rsidRPr="000B68D6" w:rsidRDefault="00D51206" w:rsidP="008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6" w:rsidRPr="000B68D6" w:rsidRDefault="00D51206" w:rsidP="008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206" w:rsidRPr="00D51206" w:rsidRDefault="00D51206" w:rsidP="008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.04.20</w:t>
            </w:r>
          </w:p>
        </w:tc>
      </w:tr>
      <w:tr w:rsidR="00D51206" w:rsidRPr="00D51206" w:rsidTr="00D51206">
        <w:trPr>
          <w:trHeight w:val="258"/>
        </w:trPr>
        <w:tc>
          <w:tcPr>
            <w:tcW w:w="10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06" w:rsidRPr="00D51206" w:rsidRDefault="00D51206" w:rsidP="00D5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Гр.№2 НАПО </w:t>
            </w:r>
          </w:p>
        </w:tc>
      </w:tr>
      <w:tr w:rsidR="00D51206" w:rsidRPr="000B68D6" w:rsidTr="00D51206">
        <w:trPr>
          <w:trHeight w:val="258"/>
        </w:trPr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206" w:rsidRPr="000B68D6" w:rsidRDefault="00D51206" w:rsidP="008E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D5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Налоговая политика государтсва. Виды налогов</w:t>
            </w: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51206" w:rsidRPr="000B68D6" w:rsidTr="00D51206">
        <w:trPr>
          <w:trHeight w:val="258"/>
        </w:trPr>
        <w:tc>
          <w:tcPr>
            <w:tcW w:w="7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8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51206" w:rsidRPr="000B68D6" w:rsidRDefault="00D51206" w:rsidP="008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8E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D51206" w:rsidRPr="000B68D6" w:rsidTr="00D51206">
        <w:trPr>
          <w:trHeight w:val="258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206" w:rsidRPr="000B68D6" w:rsidRDefault="00D51206" w:rsidP="008E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занятия (тип урока)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8E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лекция</w:t>
            </w:r>
          </w:p>
        </w:tc>
      </w:tr>
      <w:tr w:rsidR="00D51206" w:rsidRPr="000B68D6" w:rsidTr="00D51206">
        <w:trPr>
          <w:trHeight w:val="180"/>
        </w:trPr>
        <w:tc>
          <w:tcPr>
            <w:tcW w:w="10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8E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206" w:rsidRPr="000B68D6" w:rsidTr="00D51206">
        <w:trPr>
          <w:cantSplit/>
          <w:trHeight w:val="273"/>
        </w:trPr>
        <w:tc>
          <w:tcPr>
            <w:tcW w:w="875" w:type="dxa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D51206" w:rsidRPr="000B68D6" w:rsidRDefault="00D51206" w:rsidP="008E13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6" w:rsidRPr="000B68D6" w:rsidRDefault="00D51206" w:rsidP="00D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1206" w:rsidRPr="000B68D6" w:rsidRDefault="00D51206" w:rsidP="008E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206" w:rsidRPr="000B68D6" w:rsidRDefault="00D51206" w:rsidP="008E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познакомить  обучающихся  с  понятием  налогов,  видами </w:t>
            </w:r>
          </w:p>
          <w:p w:rsidR="00D51206" w:rsidRPr="000B68D6" w:rsidRDefault="00D51206" w:rsidP="008E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6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налогов, функциями налогов, понятием налоговой политики государства.</w:t>
            </w:r>
          </w:p>
        </w:tc>
      </w:tr>
    </w:tbl>
    <w:p w:rsidR="00D51206" w:rsidRDefault="00D51206"/>
    <w:p w:rsidR="00D51206" w:rsidRPr="00D51206" w:rsidRDefault="00D51206" w:rsidP="00D512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1206">
        <w:rPr>
          <w:rFonts w:ascii="Times New Roman" w:hAnsi="Times New Roman" w:cs="Times New Roman"/>
          <w:sz w:val="28"/>
          <w:szCs w:val="28"/>
        </w:rPr>
        <w:t>План урока</w:t>
      </w:r>
      <w:r w:rsidRPr="00D5120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1206" w:rsidRPr="00D51206" w:rsidRDefault="00D51206" w:rsidP="00D512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Налоговая политика</w:t>
      </w: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206" w:rsidRPr="00D51206" w:rsidRDefault="00D51206" w:rsidP="00D51206">
      <w:pPr>
        <w:ind w:left="360"/>
      </w:pP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</w:t>
      </w: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Налоги</w:t>
      </w: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3. </w:t>
      </w: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Налогопла</w:t>
      </w: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softHyphen/>
        <w:t>тельщики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    4. Виды налогов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    5</w:t>
      </w: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Принципы налогообложения</w:t>
      </w: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6. Функции налогов.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20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7. Уровни налогов.</w:t>
      </w:r>
    </w:p>
    <w:p w:rsidR="00D51206" w:rsidRPr="00D51206" w:rsidRDefault="00D51206" w:rsidP="00D5120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51206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   8. Направления совершенствования налоговой системы в России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A366E" w:rsidRDefault="00BA366E" w:rsidP="00BA366E">
      <w:pPr>
        <w:autoSpaceDE w:val="0"/>
        <w:autoSpaceDN w:val="0"/>
        <w:adjustRightInd w:val="0"/>
        <w:spacing w:after="0" w:line="562" w:lineRule="atLeast"/>
        <w:jc w:val="center"/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8"/>
          <w:sz w:val="28"/>
          <w:szCs w:val="28"/>
          <w:highlight w:val="white"/>
        </w:rPr>
        <w:t>Тесты по налогам, налогообложению и налоговой системе с ответами</w:t>
      </w:r>
    </w:p>
    <w:p w:rsidR="00BA366E" w:rsidRPr="00BA366E" w:rsidRDefault="00BA366E" w:rsidP="00BA366E">
      <w:pPr>
        <w:autoSpaceDE w:val="0"/>
        <w:autoSpaceDN w:val="0"/>
        <w:adjustRightInd w:val="0"/>
        <w:spacing w:after="0" w:line="562" w:lineRule="atLeast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  <w:highlight w:val="white"/>
        </w:rPr>
      </w:pP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общегосударственным налогам относят: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налог из рекламы;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НДС;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коммунальный налог;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гостиничный сбор.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Совокупность налогов, что взимаются в государстве, а также форм и методов их построения – это: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налоговая политика;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налоговая система;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фискальная функция;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принцип стабильности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Акцизный сбор – это налог: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косвенный – индивидуальный;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прямой – реальный;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прямой – личный;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косвенный – универсальный.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lastRenderedPageBreak/>
        <w:t xml:space="preserve">4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Налоги возникли в результате: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развития торговли;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появления государства;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становление промышленности;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формирование товарно-денежных отношений.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5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Налоги – это: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денежные содержания из каждого работающего человека;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денежные и натуральные платежи, что выплачиваются из госбюджета;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денежные изъятия государства из прибыли и зарплаты;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обязательные платежи юридических и физических лиц в бюджет в размерах и в сроки, установленные законом.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6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Недопущение каких-либо проявлений налоговой дискриминации – обеспечение одинакового подхода к субъектам ведения хозяйства – это принцип: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стимулирование;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равенства;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стабильность;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равномерности уплаты.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7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местным налогам и сборам относят: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рыночный сбор;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налог на землю;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налог из владельцев транспортных средств;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коммунальный налог;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Д) верные а) и г).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Источником уплаты налога является: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заработная плата;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прибыль;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проценты;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все ответы верны.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9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Перераспределение доходов юридических и физических лиц осуществляется путем реализации: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стимулирующей функции налогов;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регулирующей функции налогов;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распределительной функции налогов;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контрольной функции налогов.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10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личностным налогам относятся: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подоходный налог;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налог на землю;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пошлина;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НДС.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11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Налог с владельцев транспортных средств - это налог: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косвенный;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прямой;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местный;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универсальный.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lastRenderedPageBreak/>
        <w:t xml:space="preserve">12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По способу взимания налоги подразделяются: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А) прямые и косвенные;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Б) на прибыль (доход), на прибавленную стоимость, ресурсные, на имущество, на действии;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В) общегосударственные и местные;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Г) кадастровые, декларационные и предыдущие.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13.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прямым налогам относятся: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Подоходный налог, налог на имущество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Водный налог, акцизы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Транспортный налог, подоходный налог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14.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косвенным налогам относятся: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НДС, акцизы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Налог на прибыль, налог на наследство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Налог на имущество, земельный налог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15.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Какие организации не являются плательщиками налога на прибыль?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Коммерческие банки различных видов; страховые компании, получившие лицензию на обслуживание страховой деятельности; профессиональные работники рынка ценных бумаг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Некоммерческие и благотворительные организации и фонды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Платящие единый налог на вмененный доход; применяющие упрощенную систему налогообложения, учета и отчетности; уплачивающие налог на игорный бизнес; платящие единый сельскохозяйственный налог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16.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Функции налогов заключаются в: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Финансовом обеспечении расходов, которые несет государство; регулировании экономики со стороны государства; поддержании равенства между различными слоями населения; стимулировании экономики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Концентрации денежных средств в государственном бюджете; осуществлении контроля за расходованием государственных денежных средств; поддержании социального равновесия путем изменения соотношения между доходами отдельных социальных групп с целью сглаживания неравенства между ними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Равномерном распределении финансовых ресурсов государства; государственном регулировании экономики; обеспечении финансирования государственных расходов; осуществлении контроля за процессом использования государственных денежных средств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17.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 какой группе налогов относятся акцизы?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Обязательные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Косвенные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Целевые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  <w:lang w:val="en-US"/>
        </w:rPr>
        <w:t xml:space="preserve">18.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Классифицировать налоги можно по следующим признакам: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Способ изъятия; объект налогообложения; целевое назначение налога; субъект налогообложения; уровень бюджета, в который зачисляется налог; срок уплаты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Отношение к бюджету; иерархические уровни утверждения; отношение к бюджету; субъект налогообложения; объект налогообложения; способ отражения в бухучете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Способ взимания; орган, устанавливающий налог; целевая направленность введения; субъект-налогоплательщик; уровень бюджета, в который зачисляется налог; способ отражения в бухучете; срок уплаты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  <w:lang w:val="en-US"/>
        </w:rPr>
        <w:t xml:space="preserve">19.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Экономическое содержание налога выражается взаимоотношениями между: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Субъектами хозяйствования в связи с перераспределением излишка доходов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Гражданами, субъектами хозяйствования и государством в связи с формированием государственных доходов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Гражданами и государством через механизмы перераспределения доходов и расходов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20.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Снижение налогов ведет к: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Падению благосостояния населения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Росту благосостояния населения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Росту деловой активности и объемов выпуска продукции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21.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При росте налогов наблюдается: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Рост совокупного спроса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Сокращение совокупного предложения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Сокращение совокупного спроса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22.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Сущность налога – это: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Удержание и перераспределение излишка доходов граждан и субъектов хозяйствования на нужды государства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Поддержание работоспособности государственных служб и ведомств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Удержание государством в пользу общества некоторой части валового внутреннего продукта в виде обязательного взноса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23.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Принцип универсализации налогообложения заключается в том, что: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Уплата налогов должна быть удобной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Размер налогов для граждан должен быть соразмерен с их доходами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Дифференциация налогов по территориальному, национальному и другим признакам не должна существовать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b/>
          <w:bCs/>
          <w:color w:val="2B2727"/>
          <w:spacing w:val="8"/>
          <w:sz w:val="28"/>
          <w:szCs w:val="28"/>
          <w:highlight w:val="white"/>
        </w:rPr>
        <w:t xml:space="preserve">_24. </w:t>
      </w:r>
      <w:r>
        <w:rPr>
          <w:rFonts w:ascii="Times New Roman CYR" w:hAnsi="Times New Roman CYR" w:cs="Times New Roman CYR"/>
          <w:b/>
          <w:bCs/>
          <w:color w:val="2B2727"/>
          <w:spacing w:val="8"/>
          <w:sz w:val="28"/>
          <w:szCs w:val="28"/>
          <w:highlight w:val="white"/>
        </w:rPr>
        <w:t>Кто является плательщиком налога на доходы физических лиц?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Только граждане РФ</w:t>
      </w:r>
    </w:p>
    <w:p w:rsid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Физические лица-налоговые резиденты РФ, а также физические лица, получающие доходы из источников в РФ</w:t>
      </w:r>
    </w:p>
    <w:p w:rsidR="00BA366E" w:rsidRPr="00BA366E" w:rsidRDefault="00BA366E" w:rsidP="00BA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</w:pPr>
      <w:r w:rsidRPr="00BA366E">
        <w:rPr>
          <w:rFonts w:ascii="Times New Roman" w:hAnsi="Times New Roman" w:cs="Times New Roman"/>
          <w:color w:val="2B2727"/>
          <w:spacing w:val="8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2B2727"/>
          <w:spacing w:val="8"/>
          <w:sz w:val="28"/>
          <w:szCs w:val="28"/>
          <w:highlight w:val="white"/>
        </w:rPr>
        <w:t>Граждане РФ, прожившие на ее территории 183 дня и более в отчетном налоговом периоде</w:t>
      </w:r>
    </w:p>
    <w:p w:rsidR="00D51206" w:rsidRPr="00D51206" w:rsidRDefault="00D51206" w:rsidP="00D51206">
      <w:pP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D51206" w:rsidRPr="00D51206" w:rsidRDefault="00D51206" w:rsidP="00D51206"/>
    <w:sectPr w:rsidR="00D51206" w:rsidRPr="00D5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11E4"/>
    <w:multiLevelType w:val="hybridMultilevel"/>
    <w:tmpl w:val="DF88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6"/>
    <w:rsid w:val="001A3DB9"/>
    <w:rsid w:val="00BA366E"/>
    <w:rsid w:val="00D51206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DF67-60B8-4AC5-8DD9-D54F551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2020-04-10T14:46:00Z</dcterms:created>
  <dcterms:modified xsi:type="dcterms:W3CDTF">2020-04-12T12:35:00Z</dcterms:modified>
</cp:coreProperties>
</file>